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4417" w14:textId="77777777" w:rsidR="005A34F1" w:rsidRDefault="005A34F1" w:rsidP="005A34F1">
      <w:pPr>
        <w:shd w:val="clear" w:color="auto" w:fill="FFFFFF"/>
        <w:spacing w:before="240" w:after="0" w:line="240" w:lineRule="auto"/>
        <w:jc w:val="center"/>
        <w:rPr>
          <w:rFonts w:ascii="Arial" w:eastAsia="Times New Roman" w:hAnsi="Arial" w:cs="Arial"/>
          <w:b/>
          <w:bCs/>
          <w:color w:val="44546A" w:themeColor="text2"/>
          <w:sz w:val="28"/>
          <w:szCs w:val="27"/>
          <w:lang w:eastAsia="en-GB"/>
        </w:rPr>
      </w:pPr>
      <w:r w:rsidRPr="005A34F1">
        <w:rPr>
          <w:rFonts w:ascii="Arial" w:eastAsia="Times New Roman" w:hAnsi="Arial" w:cs="Arial"/>
          <w:b/>
          <w:bCs/>
          <w:color w:val="44546A" w:themeColor="text2"/>
          <w:sz w:val="28"/>
          <w:szCs w:val="27"/>
          <w:lang w:eastAsia="en-GB"/>
        </w:rPr>
        <w:t xml:space="preserve">Shrnutí podmínek Mimořádného opatření Vlády ČR </w:t>
      </w:r>
      <w:r>
        <w:rPr>
          <w:rFonts w:ascii="Arial" w:eastAsia="Times New Roman" w:hAnsi="Arial" w:cs="Arial"/>
          <w:b/>
          <w:bCs/>
          <w:color w:val="44546A" w:themeColor="text2"/>
          <w:sz w:val="28"/>
          <w:szCs w:val="27"/>
          <w:lang w:eastAsia="en-GB"/>
        </w:rPr>
        <w:br/>
      </w:r>
      <w:r w:rsidRPr="005A34F1">
        <w:rPr>
          <w:rFonts w:ascii="Arial" w:eastAsia="Times New Roman" w:hAnsi="Arial" w:cs="Arial"/>
          <w:b/>
          <w:bCs/>
          <w:color w:val="44546A" w:themeColor="text2"/>
          <w:sz w:val="28"/>
          <w:szCs w:val="27"/>
          <w:lang w:eastAsia="en-GB"/>
        </w:rPr>
        <w:t>k účasti na hromadných akcích</w:t>
      </w:r>
      <w:r>
        <w:rPr>
          <w:rFonts w:ascii="Arial" w:eastAsia="Times New Roman" w:hAnsi="Arial" w:cs="Arial"/>
          <w:b/>
          <w:bCs/>
          <w:color w:val="44546A" w:themeColor="text2"/>
          <w:sz w:val="28"/>
          <w:szCs w:val="27"/>
          <w:lang w:eastAsia="en-GB"/>
        </w:rPr>
        <w:t xml:space="preserve"> a 1. kole ČMP dne 9. ledna ve Vysočina Areně</w:t>
      </w:r>
    </w:p>
    <w:p w14:paraId="3078F58E" w14:textId="77777777" w:rsidR="005A34F1" w:rsidRDefault="005A34F1" w:rsidP="005A34F1">
      <w:pPr>
        <w:shd w:val="clear" w:color="auto" w:fill="FFFFFF"/>
        <w:spacing w:before="240" w:after="0" w:line="240" w:lineRule="auto"/>
        <w:jc w:val="center"/>
        <w:rPr>
          <w:rFonts w:ascii="Arial" w:eastAsia="Times New Roman" w:hAnsi="Arial" w:cs="Arial"/>
          <w:b/>
          <w:bCs/>
          <w:color w:val="44546A" w:themeColor="text2"/>
          <w:sz w:val="28"/>
          <w:szCs w:val="27"/>
          <w:lang w:eastAsia="en-GB"/>
        </w:rPr>
      </w:pPr>
    </w:p>
    <w:p w14:paraId="2B712234" w14:textId="77777777" w:rsidR="005A34F1" w:rsidRPr="005A34F1" w:rsidRDefault="005A34F1" w:rsidP="005A34F1">
      <w:pPr>
        <w:shd w:val="clear" w:color="auto" w:fill="FFFFFF"/>
        <w:spacing w:before="240" w:after="0" w:line="240" w:lineRule="auto"/>
        <w:rPr>
          <w:rFonts w:ascii="Arial" w:eastAsia="Times New Roman" w:hAnsi="Arial" w:cs="Arial"/>
          <w:b/>
          <w:bCs/>
          <w:color w:val="44546A" w:themeColor="text2"/>
          <w:sz w:val="32"/>
          <w:szCs w:val="27"/>
          <w:lang w:eastAsia="en-GB"/>
        </w:rPr>
      </w:pPr>
      <w:r w:rsidRPr="005A34F1">
        <w:rPr>
          <w:rFonts w:ascii="Arial" w:eastAsia="Times New Roman" w:hAnsi="Arial" w:cs="Arial"/>
          <w:color w:val="000000"/>
          <w:szCs w:val="27"/>
          <w:lang w:eastAsia="en-GB"/>
        </w:rPr>
        <w:t>Organizátorovi akce se nařizuje neumožnit v jeden čas přítomnost více než 100 osob.</w:t>
      </w:r>
    </w:p>
    <w:p w14:paraId="2E39E1A9" w14:textId="77777777" w:rsidR="005A34F1" w:rsidRPr="005A34F1" w:rsidRDefault="005A34F1" w:rsidP="005A34F1">
      <w:pPr>
        <w:shd w:val="clear" w:color="auto" w:fill="FFFFFF"/>
        <w:spacing w:before="240" w:after="0" w:line="240" w:lineRule="auto"/>
        <w:rPr>
          <w:rFonts w:ascii="Arial" w:eastAsia="Times New Roman" w:hAnsi="Arial" w:cs="Arial"/>
          <w:color w:val="000000"/>
          <w:szCs w:val="27"/>
          <w:lang w:eastAsia="en-GB"/>
        </w:rPr>
      </w:pPr>
      <w:r w:rsidRPr="005A34F1">
        <w:rPr>
          <w:rFonts w:ascii="Arial" w:eastAsia="Times New Roman" w:hAnsi="Arial" w:cs="Arial"/>
          <w:color w:val="000000"/>
          <w:szCs w:val="27"/>
          <w:lang w:eastAsia="en-GB"/>
        </w:rPr>
        <w:t>Organizátorovi akce se nařizuje u osoby, která musí splňovat podmínky, před účastí na akci, na níž je regulován vstup, splnění těchto podmínek kontrolovat a osobě se nařizuje mu splnění podmínek prokázat.</w:t>
      </w:r>
    </w:p>
    <w:p w14:paraId="7D92CFC8" w14:textId="77777777" w:rsidR="005A34F1" w:rsidRPr="005A34F1" w:rsidRDefault="005A34F1" w:rsidP="005A34F1">
      <w:pPr>
        <w:shd w:val="clear" w:color="auto" w:fill="FFFFFF"/>
        <w:spacing w:before="240" w:after="0" w:line="240" w:lineRule="auto"/>
        <w:rPr>
          <w:rFonts w:ascii="Arial" w:eastAsia="Times New Roman" w:hAnsi="Arial" w:cs="Arial"/>
          <w:color w:val="000000"/>
          <w:szCs w:val="27"/>
          <w:lang w:eastAsia="en-GB"/>
        </w:rPr>
      </w:pPr>
      <w:r w:rsidRPr="005A34F1">
        <w:rPr>
          <w:rFonts w:ascii="Arial" w:eastAsia="Times New Roman" w:hAnsi="Arial" w:cs="Arial"/>
          <w:color w:val="000000"/>
          <w:szCs w:val="27"/>
          <w:lang w:eastAsia="en-GB"/>
        </w:rPr>
        <w:t>V případě, že osoba splnění podmínek neprokáže, zakazuje se organizátorovi akce takové osobě umožnit účast na akci.</w:t>
      </w:r>
    </w:p>
    <w:p w14:paraId="043A1F20" w14:textId="77777777" w:rsidR="005A34F1" w:rsidRPr="005A34F1" w:rsidRDefault="005A34F1" w:rsidP="005A34F1">
      <w:pPr>
        <w:shd w:val="clear" w:color="auto" w:fill="FFFFFF"/>
        <w:spacing w:before="240" w:after="0" w:line="240" w:lineRule="auto"/>
        <w:rPr>
          <w:rFonts w:ascii="Arial" w:eastAsia="Times New Roman" w:hAnsi="Arial" w:cs="Arial"/>
          <w:color w:val="000000"/>
          <w:szCs w:val="27"/>
          <w:lang w:eastAsia="en-GB"/>
        </w:rPr>
      </w:pPr>
      <w:r w:rsidRPr="005A34F1">
        <w:rPr>
          <w:rFonts w:ascii="Arial" w:eastAsia="Times New Roman" w:hAnsi="Arial" w:cs="Arial"/>
          <w:color w:val="000000"/>
          <w:szCs w:val="27"/>
          <w:lang w:eastAsia="en-GB"/>
        </w:rPr>
        <w:t>V případě amatérské sportovní soutěže organizované sportovními svazy se nařizuje osobě organizující sportovní přípravu nebo sportovní utkání vést vždy evidenci osob účastnících se sportovní přípravy nebo sportovního utkání pro potřeby případného epidemiologického šetření.</w:t>
      </w:r>
    </w:p>
    <w:p w14:paraId="44C8BEA7" w14:textId="77777777" w:rsidR="005A34F1" w:rsidRDefault="005A34F1" w:rsidP="005A34F1">
      <w:pPr>
        <w:shd w:val="clear" w:color="auto" w:fill="FFFFFF"/>
        <w:spacing w:before="240" w:after="0" w:line="450" w:lineRule="atLeast"/>
        <w:rPr>
          <w:rFonts w:ascii="Arial" w:eastAsia="Times New Roman" w:hAnsi="Arial" w:cs="Arial"/>
          <w:b/>
          <w:bCs/>
          <w:color w:val="0693E3"/>
          <w:szCs w:val="27"/>
          <w:lang w:eastAsia="en-GB"/>
        </w:rPr>
      </w:pPr>
    </w:p>
    <w:p w14:paraId="6446F710" w14:textId="77777777" w:rsidR="00FA50D3" w:rsidRDefault="00FA50D3" w:rsidP="005A34F1">
      <w:pPr>
        <w:shd w:val="clear" w:color="auto" w:fill="FFFFFF"/>
        <w:spacing w:before="240" w:after="0" w:line="450" w:lineRule="atLeast"/>
        <w:rPr>
          <w:rFonts w:ascii="Arial" w:eastAsia="Times New Roman" w:hAnsi="Arial" w:cs="Arial"/>
          <w:b/>
          <w:bCs/>
          <w:color w:val="44546A" w:themeColor="text2"/>
          <w:szCs w:val="27"/>
          <w:lang w:eastAsia="en-GB"/>
        </w:rPr>
      </w:pPr>
      <w:r w:rsidRPr="005A34F1">
        <w:rPr>
          <w:rFonts w:ascii="Arial" w:eastAsia="Times New Roman" w:hAnsi="Arial" w:cs="Arial"/>
          <w:b/>
          <w:bCs/>
          <w:color w:val="44546A" w:themeColor="text2"/>
          <w:szCs w:val="27"/>
          <w:lang w:eastAsia="en-GB"/>
        </w:rPr>
        <w:t>Účast osob na hromadných akcích – osoby musí splňovat následující podmínky:</w:t>
      </w:r>
    </w:p>
    <w:p w14:paraId="11811E52" w14:textId="77777777" w:rsidR="005A34F1" w:rsidRPr="00FA50D3" w:rsidRDefault="005A34F1" w:rsidP="005A34F1">
      <w:pPr>
        <w:shd w:val="clear" w:color="auto" w:fill="FFFFFF"/>
        <w:spacing w:before="240" w:after="0" w:line="240" w:lineRule="auto"/>
        <w:rPr>
          <w:rFonts w:ascii="Arial" w:eastAsia="Times New Roman" w:hAnsi="Arial" w:cs="Arial"/>
          <w:b/>
          <w:i/>
          <w:color w:val="000000"/>
          <w:szCs w:val="27"/>
          <w:lang w:eastAsia="en-GB"/>
        </w:rPr>
      </w:pPr>
      <w:r w:rsidRPr="005A34F1">
        <w:rPr>
          <w:rFonts w:ascii="Arial" w:eastAsia="Times New Roman" w:hAnsi="Arial" w:cs="Arial"/>
          <w:b/>
          <w:i/>
          <w:color w:val="000000"/>
          <w:szCs w:val="27"/>
          <w:highlight w:val="yellow"/>
          <w:lang w:eastAsia="en-GB"/>
        </w:rPr>
        <w:t>Všichni vedoucí jednotlivých týmů účastnících se ČMP svým podpisem na prezenci osobně stvrdí, že jimi prezentovaní sportovci splňují níže stanovené podmínky ze strany MZČR.</w:t>
      </w:r>
      <w:r w:rsidRPr="005A34F1">
        <w:rPr>
          <w:rFonts w:ascii="Arial" w:eastAsia="Times New Roman" w:hAnsi="Arial" w:cs="Arial"/>
          <w:b/>
          <w:i/>
          <w:color w:val="000000"/>
          <w:szCs w:val="27"/>
          <w:lang w:eastAsia="en-GB"/>
        </w:rPr>
        <w:t xml:space="preserve"> </w:t>
      </w:r>
    </w:p>
    <w:p w14:paraId="2174ECC8" w14:textId="77777777" w:rsidR="00FA50D3" w:rsidRPr="005A34F1" w:rsidRDefault="00FA50D3" w:rsidP="005A34F1">
      <w:pPr>
        <w:shd w:val="clear" w:color="auto" w:fill="FFFFFF"/>
        <w:spacing w:before="240" w:after="0" w:line="450" w:lineRule="atLeast"/>
        <w:rPr>
          <w:rFonts w:ascii="Arial" w:eastAsia="Times New Roman" w:hAnsi="Arial" w:cs="Arial"/>
          <w:b/>
          <w:bCs/>
          <w:color w:val="CF2E2E"/>
          <w:szCs w:val="27"/>
          <w:lang w:eastAsia="en-GB"/>
        </w:rPr>
      </w:pPr>
      <w:r w:rsidRPr="005A34F1">
        <w:rPr>
          <w:rFonts w:ascii="Arial" w:eastAsia="Times New Roman" w:hAnsi="Arial" w:cs="Arial"/>
          <w:b/>
          <w:bCs/>
          <w:color w:val="CF2E2E"/>
          <w:szCs w:val="27"/>
          <w:lang w:eastAsia="en-GB"/>
        </w:rPr>
        <w:t>Mládež ve věku do 12 let,</w:t>
      </w:r>
      <w:r w:rsidRPr="005A34F1">
        <w:rPr>
          <w:rFonts w:ascii="Arial" w:eastAsia="Times New Roman" w:hAnsi="Arial" w:cs="Arial"/>
          <w:color w:val="CF2E2E"/>
          <w:szCs w:val="27"/>
          <w:lang w:eastAsia="en-GB"/>
        </w:rPr>
        <w:t> </w:t>
      </w:r>
      <w:r w:rsidRPr="00FA50D3">
        <w:rPr>
          <w:rFonts w:ascii="Arial" w:eastAsia="Times New Roman" w:hAnsi="Arial" w:cs="Arial"/>
          <w:color w:val="000000"/>
          <w:szCs w:val="27"/>
          <w:lang w:eastAsia="en-GB"/>
        </w:rPr>
        <w:t>která nevykazuje klinické příznaky onemocnění</w:t>
      </w:r>
      <w:r w:rsidRPr="005A34F1">
        <w:rPr>
          <w:rFonts w:ascii="Arial" w:eastAsia="Times New Roman" w:hAnsi="Arial" w:cs="Arial"/>
          <w:color w:val="000000"/>
          <w:szCs w:val="27"/>
          <w:lang w:eastAsia="en-GB"/>
        </w:rPr>
        <w:t xml:space="preserve"> bez omezení.</w:t>
      </w:r>
    </w:p>
    <w:p w14:paraId="1DAC88F4" w14:textId="77777777" w:rsidR="00FA50D3" w:rsidRPr="00FA50D3" w:rsidRDefault="00FA50D3" w:rsidP="005A34F1">
      <w:pPr>
        <w:shd w:val="clear" w:color="auto" w:fill="FFFFFF"/>
        <w:spacing w:before="240" w:after="0" w:line="240" w:lineRule="auto"/>
        <w:rPr>
          <w:rFonts w:ascii="Arial" w:eastAsia="Times New Roman" w:hAnsi="Arial" w:cs="Arial"/>
          <w:color w:val="000000"/>
          <w:szCs w:val="27"/>
          <w:lang w:eastAsia="en-GB"/>
        </w:rPr>
      </w:pPr>
      <w:r w:rsidRPr="005A34F1">
        <w:rPr>
          <w:rFonts w:ascii="Arial" w:eastAsia="Times New Roman" w:hAnsi="Arial" w:cs="Arial"/>
          <w:b/>
          <w:bCs/>
          <w:color w:val="CF2E2E"/>
          <w:szCs w:val="27"/>
          <w:lang w:eastAsia="en-GB"/>
        </w:rPr>
        <w:t>Mládež ve věku od 12 do 18 let,</w:t>
      </w:r>
      <w:r w:rsidRPr="005A34F1">
        <w:rPr>
          <w:rFonts w:ascii="Arial" w:eastAsia="Times New Roman" w:hAnsi="Arial" w:cs="Arial"/>
          <w:color w:val="CF2E2E"/>
          <w:szCs w:val="27"/>
          <w:lang w:eastAsia="en-GB"/>
        </w:rPr>
        <w:t> </w:t>
      </w:r>
      <w:r w:rsidRPr="00FA50D3">
        <w:rPr>
          <w:rFonts w:ascii="Arial" w:eastAsia="Times New Roman" w:hAnsi="Arial" w:cs="Arial"/>
          <w:color w:val="000000"/>
          <w:szCs w:val="27"/>
          <w:lang w:eastAsia="en-GB"/>
        </w:rPr>
        <w:t>která nevykazuje klinické příznaky onemocnění Covid -19, se může účastnit pohybových aktivit s prokázáním podmínek: </w:t>
      </w:r>
    </w:p>
    <w:p w14:paraId="7F0EB960"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5A34F1">
        <w:rPr>
          <w:rFonts w:ascii="Arial" w:eastAsia="Times New Roman" w:hAnsi="Arial" w:cs="Arial"/>
          <w:b/>
          <w:bCs/>
          <w:color w:val="000000"/>
          <w:szCs w:val="27"/>
          <w:lang w:eastAsia="en-GB"/>
        </w:rPr>
        <w:t>dokončeným očkováním covid-19</w:t>
      </w:r>
      <w:r w:rsidRPr="00FA50D3">
        <w:rPr>
          <w:rFonts w:ascii="Arial" w:eastAsia="Times New Roman" w:hAnsi="Arial" w:cs="Arial"/>
          <w:color w:val="000000"/>
          <w:szCs w:val="27"/>
          <w:lang w:eastAsia="en-GB"/>
        </w:rPr>
        <w:t>, </w:t>
      </w:r>
    </w:p>
    <w:p w14:paraId="72EA95AD"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očkovací látka Vaxzevria (dříve AstraZeneca)</w:t>
      </w:r>
    </w:p>
    <w:p w14:paraId="2C7D0D27"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 xml:space="preserve">očkovací látka </w:t>
      </w:r>
      <w:proofErr w:type="spellStart"/>
      <w:r w:rsidRPr="00FA50D3">
        <w:rPr>
          <w:rFonts w:ascii="Arial" w:eastAsia="Times New Roman" w:hAnsi="Arial" w:cs="Arial"/>
          <w:color w:val="000000"/>
          <w:szCs w:val="27"/>
          <w:lang w:eastAsia="en-GB"/>
        </w:rPr>
        <w:t>Spikevax</w:t>
      </w:r>
      <w:proofErr w:type="spellEnd"/>
      <w:r w:rsidRPr="00FA50D3">
        <w:rPr>
          <w:rFonts w:ascii="Arial" w:eastAsia="Times New Roman" w:hAnsi="Arial" w:cs="Arial"/>
          <w:color w:val="000000"/>
          <w:szCs w:val="27"/>
          <w:lang w:eastAsia="en-GB"/>
        </w:rPr>
        <w:t xml:space="preserve"> (dříve Moderna)</w:t>
      </w:r>
    </w:p>
    <w:p w14:paraId="546E5C05"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očkovací látka Comirnaty (výrobce Pfizer / BioNTech)</w:t>
      </w:r>
    </w:p>
    <w:p w14:paraId="28CD1744"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 xml:space="preserve">očkovací látka Janssen (výrobce Janssen </w:t>
      </w:r>
      <w:proofErr w:type="spellStart"/>
      <w:r w:rsidRPr="00FA50D3">
        <w:rPr>
          <w:rFonts w:ascii="Arial" w:eastAsia="Times New Roman" w:hAnsi="Arial" w:cs="Arial"/>
          <w:color w:val="000000"/>
          <w:szCs w:val="27"/>
          <w:lang w:eastAsia="en-GB"/>
        </w:rPr>
        <w:t>Pharmaceutical</w:t>
      </w:r>
      <w:proofErr w:type="spellEnd"/>
      <w:r w:rsidRPr="00FA50D3">
        <w:rPr>
          <w:rFonts w:ascii="Arial" w:eastAsia="Times New Roman" w:hAnsi="Arial" w:cs="Arial"/>
          <w:color w:val="000000"/>
          <w:szCs w:val="27"/>
          <w:lang w:eastAsia="en-GB"/>
        </w:rPr>
        <w:t>)</w:t>
      </w:r>
    </w:p>
    <w:p w14:paraId="5F02514F"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očkovací látka Covishield</w:t>
      </w:r>
    </w:p>
    <w:p w14:paraId="76F63A15"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5A34F1">
        <w:rPr>
          <w:rFonts w:ascii="Arial" w:eastAsia="Times New Roman" w:hAnsi="Arial" w:cs="Arial"/>
          <w:b/>
          <w:bCs/>
          <w:color w:val="000000"/>
          <w:szCs w:val="27"/>
          <w:lang w:eastAsia="en-GB"/>
        </w:rPr>
        <w:t>po prodělání nemoci </w:t>
      </w:r>
      <w:r w:rsidRPr="00FA50D3">
        <w:rPr>
          <w:rFonts w:ascii="Arial" w:eastAsia="Times New Roman" w:hAnsi="Arial" w:cs="Arial"/>
          <w:color w:val="000000"/>
          <w:szCs w:val="27"/>
          <w:lang w:eastAsia="en-GB"/>
        </w:rPr>
        <w:t>a uplynutí doby nařízené izol</w:t>
      </w:r>
      <w:r w:rsidR="005A34F1" w:rsidRPr="005A34F1">
        <w:rPr>
          <w:rFonts w:ascii="Arial" w:eastAsia="Times New Roman" w:hAnsi="Arial" w:cs="Arial"/>
          <w:color w:val="000000"/>
          <w:szCs w:val="27"/>
          <w:lang w:eastAsia="en-GB"/>
        </w:rPr>
        <w:t xml:space="preserve">ace, kdy od prvního pozitivního </w:t>
      </w:r>
      <w:r w:rsidRPr="00FA50D3">
        <w:rPr>
          <w:rFonts w:ascii="Arial" w:eastAsia="Times New Roman" w:hAnsi="Arial" w:cs="Arial"/>
          <w:color w:val="000000"/>
          <w:szCs w:val="27"/>
          <w:lang w:eastAsia="en-GB"/>
        </w:rPr>
        <w:t>rychlého antigenního testu (RAT) na přítomnost a</w:t>
      </w:r>
      <w:r w:rsidR="005A34F1" w:rsidRPr="005A34F1">
        <w:rPr>
          <w:rFonts w:ascii="Arial" w:eastAsia="Times New Roman" w:hAnsi="Arial" w:cs="Arial"/>
          <w:color w:val="000000"/>
          <w:szCs w:val="27"/>
          <w:lang w:eastAsia="en-GB"/>
        </w:rPr>
        <w:t xml:space="preserve">ntigenu viru SARS CoV-2 nebo RT </w:t>
      </w:r>
      <w:r w:rsidRPr="00FA50D3">
        <w:rPr>
          <w:rFonts w:ascii="Arial" w:eastAsia="Times New Roman" w:hAnsi="Arial" w:cs="Arial"/>
          <w:color w:val="000000"/>
          <w:szCs w:val="27"/>
          <w:lang w:eastAsia="en-GB"/>
        </w:rPr>
        <w:t>PCR testu na přítomnost viru SARS CoV-2 neuplynulo více než 180 dní nebo </w:t>
      </w:r>
    </w:p>
    <w:p w14:paraId="5F1F3788" w14:textId="77777777" w:rsidR="00FA50D3" w:rsidRPr="00FA50D3" w:rsidRDefault="00FA50D3" w:rsidP="005A34F1">
      <w:pPr>
        <w:numPr>
          <w:ilvl w:val="0"/>
          <w:numId w:val="1"/>
        </w:numPr>
        <w:shd w:val="clear" w:color="auto" w:fill="FFFFFF"/>
        <w:spacing w:before="240" w:after="0" w:line="240" w:lineRule="auto"/>
        <w:ind w:left="709" w:hanging="142"/>
        <w:rPr>
          <w:rFonts w:ascii="Arial" w:eastAsia="Times New Roman" w:hAnsi="Arial" w:cs="Arial"/>
          <w:color w:val="000000"/>
          <w:szCs w:val="27"/>
          <w:lang w:eastAsia="en-GB"/>
        </w:rPr>
      </w:pPr>
      <w:r w:rsidRPr="005A34F1">
        <w:rPr>
          <w:rFonts w:ascii="Arial" w:eastAsia="Times New Roman" w:hAnsi="Arial" w:cs="Arial"/>
          <w:b/>
          <w:bCs/>
          <w:color w:val="000000"/>
          <w:szCs w:val="27"/>
          <w:lang w:eastAsia="en-GB"/>
        </w:rPr>
        <w:t>negativní výsledek PCR testu</w:t>
      </w:r>
      <w:r w:rsidRPr="00FA50D3">
        <w:rPr>
          <w:rFonts w:ascii="Arial" w:eastAsia="Times New Roman" w:hAnsi="Arial" w:cs="Arial"/>
          <w:color w:val="000000"/>
          <w:szCs w:val="27"/>
          <w:lang w:eastAsia="en-GB"/>
        </w:rPr>
        <w:t>, který má obecně platnost 72 hodin, ale v případě pohybové aktivity organizované pod sportovním svazem je jeho </w:t>
      </w:r>
      <w:r w:rsidRPr="005A34F1">
        <w:rPr>
          <w:rFonts w:ascii="Arial" w:eastAsia="Times New Roman" w:hAnsi="Arial" w:cs="Arial"/>
          <w:b/>
          <w:bCs/>
          <w:color w:val="000000"/>
          <w:szCs w:val="27"/>
          <w:lang w:eastAsia="en-GB"/>
        </w:rPr>
        <w:t>platnost 7 dní</w:t>
      </w:r>
      <w:r w:rsidRPr="00FA50D3">
        <w:rPr>
          <w:rFonts w:ascii="Arial" w:eastAsia="Times New Roman" w:hAnsi="Arial" w:cs="Arial"/>
          <w:color w:val="000000"/>
          <w:szCs w:val="27"/>
          <w:lang w:eastAsia="en-GB"/>
        </w:rPr>
        <w:t>.</w:t>
      </w:r>
    </w:p>
    <w:p w14:paraId="4BA238A5" w14:textId="77777777" w:rsidR="00FA50D3" w:rsidRPr="005A34F1" w:rsidRDefault="00FA50D3" w:rsidP="005A34F1">
      <w:pPr>
        <w:shd w:val="clear" w:color="auto" w:fill="FFFFFF"/>
        <w:spacing w:before="240" w:after="0" w:line="450" w:lineRule="atLeast"/>
        <w:rPr>
          <w:rFonts w:ascii="Arial" w:eastAsia="Times New Roman" w:hAnsi="Arial" w:cs="Arial"/>
          <w:b/>
          <w:bCs/>
          <w:color w:val="CF2E2E"/>
          <w:szCs w:val="27"/>
          <w:lang w:eastAsia="en-GB"/>
        </w:rPr>
      </w:pPr>
    </w:p>
    <w:p w14:paraId="2963DC6C" w14:textId="77777777" w:rsidR="00FA50D3" w:rsidRPr="005A34F1" w:rsidRDefault="00FA50D3" w:rsidP="005A34F1">
      <w:pPr>
        <w:shd w:val="clear" w:color="auto" w:fill="FFFFFF"/>
        <w:spacing w:before="240" w:after="0" w:line="450" w:lineRule="atLeast"/>
        <w:rPr>
          <w:rFonts w:ascii="Arial" w:eastAsia="Times New Roman" w:hAnsi="Arial" w:cs="Arial"/>
          <w:b/>
          <w:bCs/>
          <w:color w:val="CF2E2E"/>
          <w:szCs w:val="27"/>
          <w:lang w:eastAsia="en-GB"/>
        </w:rPr>
      </w:pPr>
    </w:p>
    <w:p w14:paraId="770BE3D6" w14:textId="77777777" w:rsidR="00FA50D3" w:rsidRPr="00FA50D3" w:rsidRDefault="00FA50D3" w:rsidP="005A34F1">
      <w:pPr>
        <w:shd w:val="clear" w:color="auto" w:fill="FFFFFF"/>
        <w:spacing w:before="240" w:after="0" w:line="240" w:lineRule="auto"/>
        <w:rPr>
          <w:rFonts w:ascii="Arial" w:eastAsia="Times New Roman" w:hAnsi="Arial" w:cs="Arial"/>
          <w:color w:val="000000"/>
          <w:szCs w:val="27"/>
          <w:lang w:eastAsia="en-GB"/>
        </w:rPr>
      </w:pPr>
      <w:r w:rsidRPr="005A34F1">
        <w:rPr>
          <w:rFonts w:ascii="Arial" w:eastAsia="Times New Roman" w:hAnsi="Arial" w:cs="Arial"/>
          <w:b/>
          <w:bCs/>
          <w:color w:val="CF2E2E"/>
          <w:szCs w:val="27"/>
          <w:lang w:eastAsia="en-GB"/>
        </w:rPr>
        <w:t>Osoby starší 18 let</w:t>
      </w:r>
      <w:r w:rsidR="005A34F1">
        <w:rPr>
          <w:rFonts w:ascii="Arial" w:eastAsia="Times New Roman" w:hAnsi="Arial" w:cs="Arial"/>
          <w:color w:val="000000"/>
          <w:szCs w:val="27"/>
          <w:lang w:eastAsia="en-GB"/>
        </w:rPr>
        <w:t xml:space="preserve">, </w:t>
      </w:r>
      <w:r w:rsidRPr="00FA50D3">
        <w:rPr>
          <w:rFonts w:ascii="Arial" w:eastAsia="Times New Roman" w:hAnsi="Arial" w:cs="Arial"/>
          <w:color w:val="000000"/>
          <w:szCs w:val="27"/>
          <w:lang w:eastAsia="en-GB"/>
        </w:rPr>
        <w:t>které nevykazují klinické příznaky onemocnění Covid -19, se mohou účastnit pohybových aktivit s prokázáním podmínek:</w:t>
      </w:r>
    </w:p>
    <w:p w14:paraId="1E308952" w14:textId="77777777" w:rsidR="00FA50D3" w:rsidRPr="00FA50D3" w:rsidRDefault="00FA50D3" w:rsidP="005A34F1">
      <w:pPr>
        <w:numPr>
          <w:ilvl w:val="0"/>
          <w:numId w:val="2"/>
        </w:numPr>
        <w:shd w:val="clear" w:color="auto" w:fill="FFFFFF"/>
        <w:spacing w:before="240" w:after="0" w:line="240" w:lineRule="auto"/>
        <w:ind w:left="851" w:hanging="284"/>
        <w:rPr>
          <w:rFonts w:ascii="Arial" w:eastAsia="Times New Roman" w:hAnsi="Arial" w:cs="Arial"/>
          <w:color w:val="000000"/>
          <w:szCs w:val="27"/>
          <w:lang w:eastAsia="en-GB"/>
        </w:rPr>
      </w:pPr>
      <w:r w:rsidRPr="005A34F1">
        <w:rPr>
          <w:rFonts w:ascii="Arial" w:eastAsia="Times New Roman" w:hAnsi="Arial" w:cs="Arial"/>
          <w:b/>
          <w:bCs/>
          <w:color w:val="000000"/>
          <w:szCs w:val="27"/>
          <w:lang w:eastAsia="en-GB"/>
        </w:rPr>
        <w:t>dokončeným očkováním</w:t>
      </w:r>
      <w:r w:rsidRPr="00FA50D3">
        <w:rPr>
          <w:rFonts w:ascii="Arial" w:eastAsia="Times New Roman" w:hAnsi="Arial" w:cs="Arial"/>
          <w:color w:val="000000"/>
          <w:szCs w:val="27"/>
          <w:lang w:eastAsia="en-GB"/>
        </w:rPr>
        <w:t> </w:t>
      </w:r>
      <w:r w:rsidRPr="005A34F1">
        <w:rPr>
          <w:rFonts w:ascii="Arial" w:eastAsia="Times New Roman" w:hAnsi="Arial" w:cs="Arial"/>
          <w:b/>
          <w:bCs/>
          <w:color w:val="000000"/>
          <w:szCs w:val="27"/>
          <w:lang w:eastAsia="en-GB"/>
        </w:rPr>
        <w:t>covid-19</w:t>
      </w:r>
      <w:r w:rsidRPr="00FA50D3">
        <w:rPr>
          <w:rFonts w:ascii="Arial" w:eastAsia="Times New Roman" w:hAnsi="Arial" w:cs="Arial"/>
          <w:color w:val="000000"/>
          <w:szCs w:val="27"/>
          <w:lang w:eastAsia="en-GB"/>
        </w:rPr>
        <w:t> </w:t>
      </w:r>
    </w:p>
    <w:p w14:paraId="4710DCF0" w14:textId="77777777" w:rsidR="00FA50D3" w:rsidRPr="00FA50D3" w:rsidRDefault="00FA50D3" w:rsidP="005A34F1">
      <w:pPr>
        <w:numPr>
          <w:ilvl w:val="0"/>
          <w:numId w:val="2"/>
        </w:numPr>
        <w:shd w:val="clear" w:color="auto" w:fill="FFFFFF"/>
        <w:spacing w:before="240" w:after="0" w:line="240" w:lineRule="auto"/>
        <w:ind w:left="851" w:hanging="284"/>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očkovací látka Vaxzevria (dříve AstraZeneca)</w:t>
      </w:r>
    </w:p>
    <w:p w14:paraId="6CF8CE55" w14:textId="77777777" w:rsidR="00FA50D3" w:rsidRPr="00FA50D3" w:rsidRDefault="00FA50D3" w:rsidP="005A34F1">
      <w:pPr>
        <w:numPr>
          <w:ilvl w:val="0"/>
          <w:numId w:val="2"/>
        </w:numPr>
        <w:shd w:val="clear" w:color="auto" w:fill="FFFFFF"/>
        <w:spacing w:before="240" w:after="0" w:line="240" w:lineRule="auto"/>
        <w:ind w:left="851" w:hanging="284"/>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 xml:space="preserve">očkovací látka </w:t>
      </w:r>
      <w:proofErr w:type="spellStart"/>
      <w:r w:rsidRPr="00FA50D3">
        <w:rPr>
          <w:rFonts w:ascii="Arial" w:eastAsia="Times New Roman" w:hAnsi="Arial" w:cs="Arial"/>
          <w:color w:val="000000"/>
          <w:szCs w:val="27"/>
          <w:lang w:eastAsia="en-GB"/>
        </w:rPr>
        <w:t>Spikevax</w:t>
      </w:r>
      <w:proofErr w:type="spellEnd"/>
      <w:r w:rsidRPr="00FA50D3">
        <w:rPr>
          <w:rFonts w:ascii="Arial" w:eastAsia="Times New Roman" w:hAnsi="Arial" w:cs="Arial"/>
          <w:color w:val="000000"/>
          <w:szCs w:val="27"/>
          <w:lang w:eastAsia="en-GB"/>
        </w:rPr>
        <w:t xml:space="preserve"> (dříve Moderna)</w:t>
      </w:r>
    </w:p>
    <w:p w14:paraId="20108958" w14:textId="77777777" w:rsidR="00FA50D3" w:rsidRPr="00FA50D3" w:rsidRDefault="00FA50D3" w:rsidP="005A34F1">
      <w:pPr>
        <w:numPr>
          <w:ilvl w:val="0"/>
          <w:numId w:val="2"/>
        </w:numPr>
        <w:shd w:val="clear" w:color="auto" w:fill="FFFFFF"/>
        <w:spacing w:before="240" w:after="0" w:line="240" w:lineRule="auto"/>
        <w:ind w:left="851" w:hanging="284"/>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očkovací látka Comirnaty (výrobce Pfizer / BioNTech)</w:t>
      </w:r>
    </w:p>
    <w:p w14:paraId="3571AF30" w14:textId="77777777" w:rsidR="00FA50D3" w:rsidRPr="00FA50D3" w:rsidRDefault="00FA50D3" w:rsidP="005A34F1">
      <w:pPr>
        <w:numPr>
          <w:ilvl w:val="0"/>
          <w:numId w:val="2"/>
        </w:numPr>
        <w:shd w:val="clear" w:color="auto" w:fill="FFFFFF"/>
        <w:spacing w:before="240" w:after="0" w:line="240" w:lineRule="auto"/>
        <w:ind w:left="851" w:hanging="284"/>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 xml:space="preserve">očkovací látka Janssen (výrobce Janssen </w:t>
      </w:r>
      <w:proofErr w:type="spellStart"/>
      <w:r w:rsidRPr="00FA50D3">
        <w:rPr>
          <w:rFonts w:ascii="Arial" w:eastAsia="Times New Roman" w:hAnsi="Arial" w:cs="Arial"/>
          <w:color w:val="000000"/>
          <w:szCs w:val="27"/>
          <w:lang w:eastAsia="en-GB"/>
        </w:rPr>
        <w:t>Pharmaceutical</w:t>
      </w:r>
      <w:proofErr w:type="spellEnd"/>
      <w:r w:rsidRPr="00FA50D3">
        <w:rPr>
          <w:rFonts w:ascii="Arial" w:eastAsia="Times New Roman" w:hAnsi="Arial" w:cs="Arial"/>
          <w:color w:val="000000"/>
          <w:szCs w:val="27"/>
          <w:lang w:eastAsia="en-GB"/>
        </w:rPr>
        <w:t>)</w:t>
      </w:r>
    </w:p>
    <w:p w14:paraId="655AA372" w14:textId="77777777" w:rsidR="00FA50D3" w:rsidRPr="00FA50D3" w:rsidRDefault="00FA50D3" w:rsidP="005A34F1">
      <w:pPr>
        <w:numPr>
          <w:ilvl w:val="0"/>
          <w:numId w:val="2"/>
        </w:numPr>
        <w:shd w:val="clear" w:color="auto" w:fill="FFFFFF"/>
        <w:spacing w:before="240" w:after="0" w:line="240" w:lineRule="auto"/>
        <w:ind w:left="851" w:hanging="284"/>
        <w:rPr>
          <w:rFonts w:ascii="Arial" w:eastAsia="Times New Roman" w:hAnsi="Arial" w:cs="Arial"/>
          <w:color w:val="000000"/>
          <w:szCs w:val="27"/>
          <w:lang w:eastAsia="en-GB"/>
        </w:rPr>
      </w:pPr>
      <w:r w:rsidRPr="00FA50D3">
        <w:rPr>
          <w:rFonts w:ascii="Arial" w:eastAsia="Times New Roman" w:hAnsi="Arial" w:cs="Arial"/>
          <w:color w:val="000000"/>
          <w:szCs w:val="27"/>
          <w:lang w:eastAsia="en-GB"/>
        </w:rPr>
        <w:t>očkovací látka Covishield, nebo </w:t>
      </w:r>
    </w:p>
    <w:p w14:paraId="613D328A" w14:textId="77777777" w:rsidR="00FA50D3" w:rsidRPr="00FA50D3" w:rsidRDefault="00FA50D3" w:rsidP="005A34F1">
      <w:pPr>
        <w:numPr>
          <w:ilvl w:val="0"/>
          <w:numId w:val="2"/>
        </w:numPr>
        <w:shd w:val="clear" w:color="auto" w:fill="FFFFFF"/>
        <w:tabs>
          <w:tab w:val="clear" w:pos="720"/>
        </w:tabs>
        <w:spacing w:before="240" w:after="0" w:line="240" w:lineRule="auto"/>
        <w:ind w:left="709" w:hanging="142"/>
        <w:rPr>
          <w:rFonts w:ascii="Arial" w:eastAsia="Times New Roman" w:hAnsi="Arial" w:cs="Arial"/>
          <w:color w:val="000000"/>
          <w:szCs w:val="27"/>
          <w:lang w:eastAsia="en-GB"/>
        </w:rPr>
      </w:pPr>
      <w:r w:rsidRPr="005A34F1">
        <w:rPr>
          <w:rFonts w:ascii="Arial" w:eastAsia="Times New Roman" w:hAnsi="Arial" w:cs="Arial"/>
          <w:b/>
          <w:bCs/>
          <w:color w:val="000000"/>
          <w:szCs w:val="27"/>
          <w:lang w:eastAsia="en-GB"/>
        </w:rPr>
        <w:t>po prodělání nemoci </w:t>
      </w:r>
      <w:r w:rsidRPr="00FA50D3">
        <w:rPr>
          <w:rFonts w:ascii="Arial" w:eastAsia="Times New Roman" w:hAnsi="Arial" w:cs="Arial"/>
          <w:color w:val="000000"/>
          <w:szCs w:val="27"/>
          <w:lang w:eastAsia="en-GB"/>
        </w:rPr>
        <w:t>a uplynutí doby nařízené izolace, kdy od prvního pozitivního rychlého antigenního testu (RAT) na přítomnost antigenu viru SARS CoV-2 nebo RT-PCR testu na přítomnost viru SARS CoV-2 neuplynulo více než 180 dní </w:t>
      </w:r>
    </w:p>
    <w:p w14:paraId="03C8C814" w14:textId="77777777" w:rsidR="00FA50D3" w:rsidRPr="00FA50D3" w:rsidRDefault="00FA50D3" w:rsidP="005A34F1">
      <w:pPr>
        <w:numPr>
          <w:ilvl w:val="0"/>
          <w:numId w:val="2"/>
        </w:numPr>
        <w:shd w:val="clear" w:color="auto" w:fill="FFFFFF"/>
        <w:tabs>
          <w:tab w:val="clear" w:pos="720"/>
        </w:tabs>
        <w:spacing w:before="240" w:after="0" w:line="240" w:lineRule="auto"/>
        <w:ind w:left="709" w:hanging="142"/>
        <w:rPr>
          <w:rFonts w:ascii="Arial" w:eastAsia="Times New Roman" w:hAnsi="Arial" w:cs="Arial"/>
          <w:color w:val="000000"/>
          <w:szCs w:val="27"/>
          <w:lang w:eastAsia="en-GB"/>
        </w:rPr>
      </w:pPr>
      <w:r w:rsidRPr="005A34F1">
        <w:rPr>
          <w:rFonts w:ascii="Arial" w:eastAsia="Times New Roman" w:hAnsi="Arial" w:cs="Arial"/>
          <w:b/>
          <w:bCs/>
          <w:color w:val="000000"/>
          <w:szCs w:val="27"/>
          <w:lang w:eastAsia="en-GB"/>
        </w:rPr>
        <w:t>negativní výsledek PCR testu lze použít pouze pro osoby s nedokončeným očkováním a osobu, která se nemůže podrobit očkování proti onemocnění covid-19 pro kontraindikaci</w:t>
      </w:r>
      <w:r w:rsidRPr="00FA50D3">
        <w:rPr>
          <w:rFonts w:ascii="Arial" w:eastAsia="Times New Roman" w:hAnsi="Arial" w:cs="Arial"/>
          <w:color w:val="000000"/>
          <w:szCs w:val="27"/>
          <w:lang w:eastAsia="en-GB"/>
        </w:rPr>
        <w:t>; skutečnost, že se osoba nemůže podrobit očkování proti onemocnění covid-19 pro kontraindikaci, se dokládá záznamem v Informačním systému infekčních nemocí (ISIN) obsahujícím výslovné uvedené informace o tom, že se osoba nemůže ze zdravotních důvodů očkování proti onemocnění covid-19 podrobit, nebo lékařským potvrzením obsahujícím výslovné uvedení informace o tom, že osoba se nemůže ze zdravotních důvodů očkování proti onemocnění covid-19 podrobit a že tato skutečnost je uvedena v Informačním systému infekčních nemocí (ISIN)</w:t>
      </w:r>
    </w:p>
    <w:p w14:paraId="48B068FA" w14:textId="77777777" w:rsidR="00F9142F" w:rsidRPr="005A34F1" w:rsidRDefault="00F9142F" w:rsidP="005A34F1">
      <w:pPr>
        <w:spacing w:before="240"/>
        <w:rPr>
          <w:rFonts w:ascii="Arial" w:hAnsi="Arial" w:cs="Arial"/>
          <w:sz w:val="18"/>
        </w:rPr>
      </w:pPr>
    </w:p>
    <w:sectPr w:rsidR="00F9142F" w:rsidRPr="005A3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395"/>
    <w:multiLevelType w:val="multilevel"/>
    <w:tmpl w:val="F10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F3094"/>
    <w:multiLevelType w:val="multilevel"/>
    <w:tmpl w:val="98F8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D3"/>
    <w:rsid w:val="005A34F1"/>
    <w:rsid w:val="00CA79CB"/>
    <w:rsid w:val="00F9142F"/>
    <w:rsid w:val="00FA5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A947"/>
  <w15:chartTrackingRefBased/>
  <w15:docId w15:val="{8437C435-7336-4930-BF49-6B5EFC7F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A50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iln">
    <w:name w:val="Strong"/>
    <w:basedOn w:val="Standardnpsmoodstavce"/>
    <w:uiPriority w:val="22"/>
    <w:qFormat/>
    <w:rsid w:val="00FA50D3"/>
    <w:rPr>
      <w:b/>
      <w:bCs/>
    </w:rPr>
  </w:style>
  <w:style w:type="character" w:customStyle="1" w:styleId="has-inline-color">
    <w:name w:val="has-inline-color"/>
    <w:basedOn w:val="Standardnpsmoodstavce"/>
    <w:rsid w:val="00FA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1611">
      <w:bodyDiv w:val="1"/>
      <w:marLeft w:val="0"/>
      <w:marRight w:val="0"/>
      <w:marTop w:val="0"/>
      <w:marBottom w:val="0"/>
      <w:divBdr>
        <w:top w:val="none" w:sz="0" w:space="0" w:color="auto"/>
        <w:left w:val="none" w:sz="0" w:space="0" w:color="auto"/>
        <w:bottom w:val="none" w:sz="0" w:space="0" w:color="auto"/>
        <w:right w:val="none" w:sz="0" w:space="0" w:color="auto"/>
      </w:divBdr>
    </w:div>
    <w:div w:id="4117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2787</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Skřička</dc:creator>
  <cp:keywords/>
  <dc:description/>
  <cp:lastModifiedBy>Jitka Bartoňová</cp:lastModifiedBy>
  <cp:revision>2</cp:revision>
  <dcterms:created xsi:type="dcterms:W3CDTF">2022-01-06T13:53:00Z</dcterms:created>
  <dcterms:modified xsi:type="dcterms:W3CDTF">2022-01-06T13:53:00Z</dcterms:modified>
</cp:coreProperties>
</file>